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4DD49" w14:textId="58661B33" w:rsidR="003E2FA6" w:rsidRPr="003E2FA6" w:rsidRDefault="00BB3879" w:rsidP="003E2FA6">
      <w:pPr>
        <w:pStyle w:val="NoSpacing"/>
        <w:jc w:val="center"/>
        <w:rPr>
          <w:b/>
          <w:sz w:val="44"/>
          <w:szCs w:val="44"/>
          <w:u w:val="single"/>
        </w:rPr>
      </w:pPr>
      <w:r>
        <w:rPr>
          <w:b/>
          <w:sz w:val="44"/>
          <w:szCs w:val="44"/>
          <w:u w:val="single"/>
        </w:rPr>
        <w:t>S</w:t>
      </w:r>
      <w:r w:rsidR="003E2FA6" w:rsidRPr="003E2FA6">
        <w:rPr>
          <w:b/>
          <w:sz w:val="44"/>
          <w:szCs w:val="44"/>
          <w:u w:val="single"/>
        </w:rPr>
        <w:t>caling equation for P(g)</w:t>
      </w:r>
    </w:p>
    <w:p w14:paraId="001206A4" w14:textId="4E95720E" w:rsidR="003E2FA6" w:rsidRDefault="003E2FA6" w:rsidP="009D6767">
      <w:pPr>
        <w:pStyle w:val="NoSpacing"/>
      </w:pPr>
    </w:p>
    <w:p w14:paraId="2662328F" w14:textId="77777777" w:rsidR="00DD54BF" w:rsidRDefault="00DD54BF" w:rsidP="009D6767">
      <w:pPr>
        <w:pStyle w:val="NoSpacing"/>
      </w:pPr>
    </w:p>
    <w:p w14:paraId="0BDC7344" w14:textId="77777777" w:rsidR="00BB3879" w:rsidRPr="00BB3879" w:rsidRDefault="00BB3879" w:rsidP="00BB3879">
      <w:pPr>
        <w:pStyle w:val="NoSpacing"/>
        <w:rPr>
          <w:sz w:val="24"/>
          <w:szCs w:val="24"/>
        </w:rPr>
      </w:pPr>
      <w:r w:rsidRPr="00BB3879">
        <w:rPr>
          <w:sz w:val="24"/>
          <w:szCs w:val="24"/>
        </w:rPr>
        <w:t xml:space="preserve">Instead of guessing the distribution outright, as RMT seems to do, another possibility is to derive it from a scaling equation.  </w:t>
      </w:r>
    </w:p>
    <w:p w14:paraId="564570EE" w14:textId="579B66C5" w:rsidR="003E2FA6" w:rsidRDefault="003E2FA6" w:rsidP="009D6767">
      <w:pPr>
        <w:pStyle w:val="NoSpacing"/>
      </w:pPr>
    </w:p>
    <w:p w14:paraId="7FC269A8" w14:textId="6CF24ADD" w:rsidR="00BB3879" w:rsidRDefault="00BB3879" w:rsidP="009D6767">
      <w:pPr>
        <w:pStyle w:val="NoSpacing"/>
      </w:pPr>
      <w:r>
        <w:rPr>
          <w:noProof/>
        </w:rPr>
        <w:drawing>
          <wp:inline distT="0" distB="0" distL="0" distR="0" wp14:anchorId="262EF5C6" wp14:editId="083371BA">
            <wp:extent cx="5943600" cy="11557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1155700"/>
                    </a:xfrm>
                    <a:prstGeom prst="rect">
                      <a:avLst/>
                    </a:prstGeom>
                  </pic:spPr>
                </pic:pic>
              </a:graphicData>
            </a:graphic>
          </wp:inline>
        </w:drawing>
      </w:r>
    </w:p>
    <w:p w14:paraId="4F198CFF" w14:textId="2242F47F" w:rsidR="00BB3879" w:rsidRDefault="00BB3879" w:rsidP="009D6767">
      <w:pPr>
        <w:pStyle w:val="NoSpacing"/>
      </w:pPr>
    </w:p>
    <w:p w14:paraId="7DAA6827" w14:textId="316E6787" w:rsidR="00BB3879" w:rsidRDefault="00BB3879" w:rsidP="009D6767">
      <w:pPr>
        <w:pStyle w:val="NoSpacing"/>
      </w:pPr>
      <w:r w:rsidRPr="00BB3879">
        <w:rPr>
          <w:sz w:val="24"/>
          <w:szCs w:val="24"/>
        </w:rPr>
        <w:t>where in the po</w:t>
      </w:r>
      <w:r>
        <w:rPr>
          <w:sz w:val="24"/>
          <w:szCs w:val="24"/>
        </w:rPr>
        <w:t>lar representation</w:t>
      </w:r>
      <w:r>
        <w:t>,</w:t>
      </w:r>
    </w:p>
    <w:p w14:paraId="0DB444AD" w14:textId="57BB6A6D" w:rsidR="00BB3879" w:rsidRDefault="00BB3879" w:rsidP="009D6767">
      <w:pPr>
        <w:pStyle w:val="NoSpacing"/>
      </w:pPr>
    </w:p>
    <w:p w14:paraId="4BEEBFAC" w14:textId="635320E3" w:rsidR="00BB3879" w:rsidRDefault="00BB3879" w:rsidP="009D6767">
      <w:pPr>
        <w:pStyle w:val="NoSpacing"/>
      </w:pPr>
      <w:r w:rsidRPr="0089272C">
        <w:rPr>
          <w:position w:val="-40"/>
        </w:rPr>
        <w:object w:dxaOrig="4480" w:dyaOrig="920" w14:anchorId="3160A2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15pt;height:46.3pt" o:ole="">
            <v:imagedata r:id="rId5" o:title=""/>
          </v:shape>
          <o:OLEObject Type="Embed" ProgID="Equation.DSMT4" ShapeID="_x0000_i1025" DrawAspect="Content" ObjectID="_1786194264" r:id="rId6"/>
        </w:object>
      </w:r>
    </w:p>
    <w:p w14:paraId="39C1EEC5" w14:textId="77777777" w:rsidR="00BB3879" w:rsidRDefault="00BB3879" w:rsidP="009D6767">
      <w:pPr>
        <w:pStyle w:val="NoSpacing"/>
      </w:pPr>
    </w:p>
    <w:p w14:paraId="2FAE8F27" w14:textId="1B8AD041" w:rsidR="00BB3879" w:rsidRPr="00BB3879" w:rsidRDefault="00BB3879" w:rsidP="00BB3879">
      <w:pPr>
        <w:pStyle w:val="NoSpacing"/>
        <w:rPr>
          <w:sz w:val="24"/>
          <w:szCs w:val="24"/>
        </w:rPr>
      </w:pPr>
      <w:r w:rsidRPr="00BB3879">
        <w:rPr>
          <w:sz w:val="24"/>
          <w:szCs w:val="24"/>
        </w:rPr>
        <w:t>Vis a vis the conductance (or at least the ES version), we’d like to know the probability distribution of the T’s.  As was noted in the QM file, these are related to the eigenvalues of Q = MM</w:t>
      </w:r>
      <w:r w:rsidRPr="00BB3879">
        <w:rPr>
          <w:sz w:val="24"/>
          <w:szCs w:val="24"/>
          <w:vertAlign w:val="superscript"/>
        </w:rPr>
        <w:t>†</w:t>
      </w:r>
      <w:r>
        <w:rPr>
          <w:sz w:val="24"/>
          <w:szCs w:val="24"/>
        </w:rPr>
        <w:t xml:space="preserve"> via:</w:t>
      </w:r>
    </w:p>
    <w:p w14:paraId="4BAEAFAE" w14:textId="079678C9" w:rsidR="00BB3879" w:rsidRDefault="00BB3879" w:rsidP="009D6767">
      <w:pPr>
        <w:pStyle w:val="NoSpacing"/>
      </w:pPr>
    </w:p>
    <w:p w14:paraId="32A470F1" w14:textId="5F5A9350" w:rsidR="00BB3879" w:rsidRDefault="00BB3879" w:rsidP="009D6767">
      <w:pPr>
        <w:pStyle w:val="NoSpacing"/>
      </w:pPr>
      <w:r w:rsidRPr="0089272C">
        <w:rPr>
          <w:position w:val="-30"/>
        </w:rPr>
        <w:object w:dxaOrig="1440" w:dyaOrig="680" w14:anchorId="14145EBC">
          <v:shape id="_x0000_i1026" type="#_x0000_t75" style="width:75.85pt;height:36pt" o:ole="">
            <v:imagedata r:id="rId7" o:title=""/>
          </v:shape>
          <o:OLEObject Type="Embed" ProgID="Equation.DSMT4" ShapeID="_x0000_i1026" DrawAspect="Content" ObjectID="_1786194265" r:id="rId8"/>
        </w:object>
      </w:r>
    </w:p>
    <w:p w14:paraId="4A7A1A94" w14:textId="495A6D2B" w:rsidR="00BB3879" w:rsidRDefault="00BB3879" w:rsidP="009D6767">
      <w:pPr>
        <w:pStyle w:val="NoSpacing"/>
      </w:pPr>
    </w:p>
    <w:p w14:paraId="2D1AD673" w14:textId="2DD67C6C" w:rsidR="00BB3879" w:rsidRPr="00BB3879" w:rsidRDefault="00BB3879" w:rsidP="009D6767">
      <w:pPr>
        <w:pStyle w:val="NoSpacing"/>
        <w:rPr>
          <w:sz w:val="24"/>
          <w:szCs w:val="24"/>
        </w:rPr>
      </w:pPr>
      <w:r>
        <w:rPr>
          <w:sz w:val="24"/>
          <w:szCs w:val="24"/>
        </w:rPr>
        <w:t>A more succint representation is to write: Q</w:t>
      </w:r>
      <w:r>
        <w:rPr>
          <w:sz w:val="24"/>
          <w:szCs w:val="24"/>
          <w:vertAlign w:val="subscript"/>
        </w:rPr>
        <w:t>m</w:t>
      </w:r>
      <w:r>
        <w:rPr>
          <w:sz w:val="24"/>
          <w:szCs w:val="24"/>
        </w:rPr>
        <w:t xml:space="preserve"> = exp(x</w:t>
      </w:r>
      <w:r>
        <w:rPr>
          <w:sz w:val="24"/>
          <w:szCs w:val="24"/>
          <w:vertAlign w:val="subscript"/>
        </w:rPr>
        <w:t>m</w:t>
      </w:r>
      <w:r>
        <w:rPr>
          <w:sz w:val="24"/>
          <w:szCs w:val="24"/>
        </w:rPr>
        <w:t>).  Then we have:</w:t>
      </w:r>
    </w:p>
    <w:p w14:paraId="0D390437" w14:textId="5F6359B1" w:rsidR="00BB3879" w:rsidRDefault="00BB3879" w:rsidP="009D6767">
      <w:pPr>
        <w:pStyle w:val="NoSpacing"/>
        <w:rPr>
          <w:sz w:val="24"/>
          <w:szCs w:val="24"/>
        </w:rPr>
      </w:pPr>
    </w:p>
    <w:p w14:paraId="0174BF7C" w14:textId="5CF0BE89" w:rsidR="00BB3879" w:rsidRDefault="00BB3879" w:rsidP="009D6767">
      <w:pPr>
        <w:pStyle w:val="NoSpacing"/>
      </w:pPr>
      <w:r w:rsidRPr="0089272C">
        <w:rPr>
          <w:position w:val="-30"/>
        </w:rPr>
        <w:object w:dxaOrig="2760" w:dyaOrig="720" w14:anchorId="76E2A5E6">
          <v:shape id="_x0000_i1027" type="#_x0000_t75" style="width:145.3pt;height:37.7pt" o:ole="">
            <v:imagedata r:id="rId9" o:title=""/>
          </v:shape>
          <o:OLEObject Type="Embed" ProgID="Equation.DSMT4" ShapeID="_x0000_i1027" DrawAspect="Content" ObjectID="_1786194266" r:id="rId10"/>
        </w:object>
      </w:r>
    </w:p>
    <w:p w14:paraId="113DE350" w14:textId="1ACA82CF" w:rsidR="00BB3879" w:rsidRDefault="00BB3879" w:rsidP="009D6767">
      <w:pPr>
        <w:pStyle w:val="NoSpacing"/>
        <w:rPr>
          <w:sz w:val="24"/>
          <w:szCs w:val="24"/>
        </w:rPr>
      </w:pPr>
    </w:p>
    <w:sectPr w:rsidR="00BB38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60F"/>
    <w:rsid w:val="0003400F"/>
    <w:rsid w:val="00034731"/>
    <w:rsid w:val="000437FE"/>
    <w:rsid w:val="00087059"/>
    <w:rsid w:val="000A7569"/>
    <w:rsid w:val="000F491E"/>
    <w:rsid w:val="0012423B"/>
    <w:rsid w:val="001257F1"/>
    <w:rsid w:val="00133166"/>
    <w:rsid w:val="001910A3"/>
    <w:rsid w:val="001A040D"/>
    <w:rsid w:val="001A4A16"/>
    <w:rsid w:val="001B37FE"/>
    <w:rsid w:val="001C0116"/>
    <w:rsid w:val="001C6ED8"/>
    <w:rsid w:val="001E2F8F"/>
    <w:rsid w:val="001F0340"/>
    <w:rsid w:val="001F6066"/>
    <w:rsid w:val="002248ED"/>
    <w:rsid w:val="00230890"/>
    <w:rsid w:val="0024463D"/>
    <w:rsid w:val="00244F93"/>
    <w:rsid w:val="002536A8"/>
    <w:rsid w:val="00297A96"/>
    <w:rsid w:val="002A1F20"/>
    <w:rsid w:val="002C3845"/>
    <w:rsid w:val="002D09FC"/>
    <w:rsid w:val="002E5CB2"/>
    <w:rsid w:val="002F6AA8"/>
    <w:rsid w:val="00314292"/>
    <w:rsid w:val="00322F51"/>
    <w:rsid w:val="00332CAE"/>
    <w:rsid w:val="0036314D"/>
    <w:rsid w:val="0037172B"/>
    <w:rsid w:val="00371BD7"/>
    <w:rsid w:val="00380D97"/>
    <w:rsid w:val="003872B1"/>
    <w:rsid w:val="00387E61"/>
    <w:rsid w:val="003A160F"/>
    <w:rsid w:val="003B2AF0"/>
    <w:rsid w:val="003E2FA6"/>
    <w:rsid w:val="003F4E63"/>
    <w:rsid w:val="004319F9"/>
    <w:rsid w:val="00433D32"/>
    <w:rsid w:val="004349E5"/>
    <w:rsid w:val="00434A71"/>
    <w:rsid w:val="00442A7A"/>
    <w:rsid w:val="00471DF1"/>
    <w:rsid w:val="00474FE3"/>
    <w:rsid w:val="004838DF"/>
    <w:rsid w:val="00495690"/>
    <w:rsid w:val="004B39D7"/>
    <w:rsid w:val="004B49B8"/>
    <w:rsid w:val="004B5D0C"/>
    <w:rsid w:val="004C1F93"/>
    <w:rsid w:val="004F2FAE"/>
    <w:rsid w:val="004F53F1"/>
    <w:rsid w:val="005454BB"/>
    <w:rsid w:val="00553E6E"/>
    <w:rsid w:val="00563E71"/>
    <w:rsid w:val="00572A01"/>
    <w:rsid w:val="00581959"/>
    <w:rsid w:val="00591B6A"/>
    <w:rsid w:val="005B5B32"/>
    <w:rsid w:val="005E563A"/>
    <w:rsid w:val="005F1089"/>
    <w:rsid w:val="00645E0A"/>
    <w:rsid w:val="00651E18"/>
    <w:rsid w:val="00652DF4"/>
    <w:rsid w:val="006802CB"/>
    <w:rsid w:val="00681416"/>
    <w:rsid w:val="00681952"/>
    <w:rsid w:val="00683CD5"/>
    <w:rsid w:val="006C6813"/>
    <w:rsid w:val="006E2586"/>
    <w:rsid w:val="006F3082"/>
    <w:rsid w:val="007452CC"/>
    <w:rsid w:val="00756216"/>
    <w:rsid w:val="0076457A"/>
    <w:rsid w:val="00771C7E"/>
    <w:rsid w:val="00784EA1"/>
    <w:rsid w:val="007861BC"/>
    <w:rsid w:val="007A58E2"/>
    <w:rsid w:val="007B5077"/>
    <w:rsid w:val="007C7219"/>
    <w:rsid w:val="007C7466"/>
    <w:rsid w:val="007E1CFA"/>
    <w:rsid w:val="007F14A1"/>
    <w:rsid w:val="007F163D"/>
    <w:rsid w:val="007F1BC8"/>
    <w:rsid w:val="007F2505"/>
    <w:rsid w:val="007F7D10"/>
    <w:rsid w:val="00813651"/>
    <w:rsid w:val="0082779A"/>
    <w:rsid w:val="008316D2"/>
    <w:rsid w:val="00850C4E"/>
    <w:rsid w:val="00853768"/>
    <w:rsid w:val="00855418"/>
    <w:rsid w:val="00874286"/>
    <w:rsid w:val="00883E3A"/>
    <w:rsid w:val="0089175E"/>
    <w:rsid w:val="008956F7"/>
    <w:rsid w:val="008E7BC6"/>
    <w:rsid w:val="008F4027"/>
    <w:rsid w:val="008F72B0"/>
    <w:rsid w:val="00900163"/>
    <w:rsid w:val="0091480B"/>
    <w:rsid w:val="00965EA6"/>
    <w:rsid w:val="0097010C"/>
    <w:rsid w:val="00972113"/>
    <w:rsid w:val="00980983"/>
    <w:rsid w:val="00985183"/>
    <w:rsid w:val="00987250"/>
    <w:rsid w:val="00987ABC"/>
    <w:rsid w:val="00994F00"/>
    <w:rsid w:val="009B2619"/>
    <w:rsid w:val="009D5095"/>
    <w:rsid w:val="009D539C"/>
    <w:rsid w:val="009D6767"/>
    <w:rsid w:val="009E318D"/>
    <w:rsid w:val="00A37CE8"/>
    <w:rsid w:val="00A37F05"/>
    <w:rsid w:val="00A4357B"/>
    <w:rsid w:val="00A54686"/>
    <w:rsid w:val="00A65239"/>
    <w:rsid w:val="00A7428D"/>
    <w:rsid w:val="00A7583B"/>
    <w:rsid w:val="00A762FA"/>
    <w:rsid w:val="00A809FD"/>
    <w:rsid w:val="00A96A75"/>
    <w:rsid w:val="00AA38D6"/>
    <w:rsid w:val="00AB08EB"/>
    <w:rsid w:val="00AC7697"/>
    <w:rsid w:val="00AD2D3F"/>
    <w:rsid w:val="00AE4B84"/>
    <w:rsid w:val="00B14E7E"/>
    <w:rsid w:val="00B16895"/>
    <w:rsid w:val="00B37091"/>
    <w:rsid w:val="00B37232"/>
    <w:rsid w:val="00B4431E"/>
    <w:rsid w:val="00B55284"/>
    <w:rsid w:val="00B649B2"/>
    <w:rsid w:val="00BB074E"/>
    <w:rsid w:val="00BB3879"/>
    <w:rsid w:val="00BC068A"/>
    <w:rsid w:val="00BD1BAF"/>
    <w:rsid w:val="00BF77F1"/>
    <w:rsid w:val="00C0026F"/>
    <w:rsid w:val="00C13F7A"/>
    <w:rsid w:val="00C1734A"/>
    <w:rsid w:val="00C505F5"/>
    <w:rsid w:val="00C505FD"/>
    <w:rsid w:val="00C5376B"/>
    <w:rsid w:val="00C629F6"/>
    <w:rsid w:val="00C700C3"/>
    <w:rsid w:val="00CA3771"/>
    <w:rsid w:val="00CA4996"/>
    <w:rsid w:val="00CB35FA"/>
    <w:rsid w:val="00CB4419"/>
    <w:rsid w:val="00CC0239"/>
    <w:rsid w:val="00CC48FE"/>
    <w:rsid w:val="00CD06A1"/>
    <w:rsid w:val="00D15A31"/>
    <w:rsid w:val="00D314A7"/>
    <w:rsid w:val="00D479DB"/>
    <w:rsid w:val="00D52DEF"/>
    <w:rsid w:val="00D9370D"/>
    <w:rsid w:val="00DA1552"/>
    <w:rsid w:val="00DC05F2"/>
    <w:rsid w:val="00DD54BF"/>
    <w:rsid w:val="00DE7DFF"/>
    <w:rsid w:val="00E20DC7"/>
    <w:rsid w:val="00E370E5"/>
    <w:rsid w:val="00E6650A"/>
    <w:rsid w:val="00E67F4A"/>
    <w:rsid w:val="00E81C21"/>
    <w:rsid w:val="00E84F9C"/>
    <w:rsid w:val="00E90AB4"/>
    <w:rsid w:val="00ED0C1C"/>
    <w:rsid w:val="00EE2F23"/>
    <w:rsid w:val="00EE38F8"/>
    <w:rsid w:val="00F00755"/>
    <w:rsid w:val="00F0628C"/>
    <w:rsid w:val="00F32C80"/>
    <w:rsid w:val="00F36995"/>
    <w:rsid w:val="00F5218A"/>
    <w:rsid w:val="00F70D60"/>
    <w:rsid w:val="00F70ED3"/>
    <w:rsid w:val="00F9660C"/>
    <w:rsid w:val="00FA77CE"/>
    <w:rsid w:val="00FB5196"/>
    <w:rsid w:val="00FC3940"/>
    <w:rsid w:val="00FD3880"/>
    <w:rsid w:val="00FD564B"/>
    <w:rsid w:val="00FE1921"/>
    <w:rsid w:val="00FE3682"/>
    <w:rsid w:val="00FE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3663"/>
  <w15:chartTrackingRefBased/>
  <w15:docId w15:val="{ECD4650B-725C-46EC-BF91-5D91435D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0340"/>
    <w:pPr>
      <w:spacing w:after="0" w:line="240" w:lineRule="auto"/>
    </w:pPr>
  </w:style>
  <w:style w:type="character" w:styleId="CommentReference">
    <w:name w:val="annotation reference"/>
    <w:basedOn w:val="DefaultParagraphFont"/>
    <w:uiPriority w:val="99"/>
    <w:semiHidden/>
    <w:unhideWhenUsed/>
    <w:rsid w:val="001F0340"/>
    <w:rPr>
      <w:sz w:val="16"/>
      <w:szCs w:val="16"/>
    </w:rPr>
  </w:style>
  <w:style w:type="paragraph" w:styleId="CommentText">
    <w:name w:val="annotation text"/>
    <w:basedOn w:val="Normal"/>
    <w:link w:val="CommentTextChar"/>
    <w:uiPriority w:val="99"/>
    <w:semiHidden/>
    <w:unhideWhenUsed/>
    <w:rsid w:val="001F0340"/>
    <w:pPr>
      <w:spacing w:line="240" w:lineRule="auto"/>
    </w:pPr>
    <w:rPr>
      <w:sz w:val="20"/>
      <w:szCs w:val="20"/>
    </w:rPr>
  </w:style>
  <w:style w:type="character" w:customStyle="1" w:styleId="CommentTextChar">
    <w:name w:val="Comment Text Char"/>
    <w:basedOn w:val="DefaultParagraphFont"/>
    <w:link w:val="CommentText"/>
    <w:uiPriority w:val="99"/>
    <w:semiHidden/>
    <w:rsid w:val="001F0340"/>
    <w:rPr>
      <w:sz w:val="20"/>
      <w:szCs w:val="20"/>
    </w:rPr>
  </w:style>
  <w:style w:type="character" w:customStyle="1" w:styleId="NoSpacingChar">
    <w:name w:val="No Spacing Char"/>
    <w:basedOn w:val="DefaultParagraphFont"/>
    <w:link w:val="NoSpacing"/>
    <w:uiPriority w:val="1"/>
    <w:rsid w:val="001F0340"/>
  </w:style>
  <w:style w:type="character" w:styleId="PlaceholderText">
    <w:name w:val="Placeholder Text"/>
    <w:basedOn w:val="DefaultParagraphFont"/>
    <w:uiPriority w:val="99"/>
    <w:semiHidden/>
    <w:rsid w:val="00CC48FE"/>
    <w:rPr>
      <w:color w:val="808080"/>
    </w:rPr>
  </w:style>
  <w:style w:type="paragraph" w:styleId="BalloonText">
    <w:name w:val="Balloon Text"/>
    <w:basedOn w:val="Normal"/>
    <w:link w:val="BalloonTextChar"/>
    <w:uiPriority w:val="99"/>
    <w:semiHidden/>
    <w:unhideWhenUsed/>
    <w:rsid w:val="004B5D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D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805024">
      <w:bodyDiv w:val="1"/>
      <w:marLeft w:val="0"/>
      <w:marRight w:val="0"/>
      <w:marTop w:val="0"/>
      <w:marBottom w:val="0"/>
      <w:divBdr>
        <w:top w:val="none" w:sz="0" w:space="0" w:color="auto"/>
        <w:left w:val="none" w:sz="0" w:space="0" w:color="auto"/>
        <w:bottom w:val="none" w:sz="0" w:space="0" w:color="auto"/>
        <w:right w:val="none" w:sz="0" w:space="0" w:color="auto"/>
      </w:divBdr>
    </w:div>
    <w:div w:id="1186938857">
      <w:bodyDiv w:val="1"/>
      <w:marLeft w:val="0"/>
      <w:marRight w:val="0"/>
      <w:marTop w:val="0"/>
      <w:marBottom w:val="0"/>
      <w:divBdr>
        <w:top w:val="none" w:sz="0" w:space="0" w:color="auto"/>
        <w:left w:val="none" w:sz="0" w:space="0" w:color="auto"/>
        <w:bottom w:val="none" w:sz="0" w:space="0" w:color="auto"/>
        <w:right w:val="none" w:sz="0" w:space="0" w:color="auto"/>
      </w:divBdr>
    </w:div>
    <w:div w:id="1832406970">
      <w:bodyDiv w:val="1"/>
      <w:marLeft w:val="0"/>
      <w:marRight w:val="0"/>
      <w:marTop w:val="0"/>
      <w:marBottom w:val="0"/>
      <w:divBdr>
        <w:top w:val="none" w:sz="0" w:space="0" w:color="auto"/>
        <w:left w:val="none" w:sz="0" w:space="0" w:color="auto"/>
        <w:bottom w:val="none" w:sz="0" w:space="0" w:color="auto"/>
        <w:right w:val="none" w:sz="0" w:space="0" w:color="auto"/>
      </w:divBdr>
    </w:div>
    <w:div w:id="19934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2.wmf"/><Relationship Id="rId10" Type="http://schemas.openxmlformats.org/officeDocument/2006/relationships/oleObject" Target="embeddings/oleObject3.bin"/><Relationship Id="rId4" Type="http://schemas.openxmlformats.org/officeDocument/2006/relationships/image" Target="media/image1.png"/><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2350</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41</cp:revision>
  <dcterms:created xsi:type="dcterms:W3CDTF">2019-03-04T20:59:00Z</dcterms:created>
  <dcterms:modified xsi:type="dcterms:W3CDTF">2024-08-26T20:14:00Z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